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5021D4" w14:textId="77777777" w:rsidR="007456FE" w:rsidRPr="00637329" w:rsidRDefault="007456FE" w:rsidP="007456FE">
      <w:pPr>
        <w:jc w:val="both"/>
        <w:rPr>
          <w:rFonts w:ascii="Trebuchet MS" w:hAnsi="Trebuchet MS"/>
          <w:sz w:val="20"/>
          <w:szCs w:val="20"/>
          <w:u w:val="single"/>
          <w:lang w:val="en-US"/>
        </w:rPr>
      </w:pPr>
      <w:r w:rsidRPr="00637329">
        <w:rPr>
          <w:rFonts w:ascii="Trebuchet MS" w:hAnsi="Trebuchet MS"/>
          <w:sz w:val="20"/>
          <w:szCs w:val="20"/>
          <w:u w:val="single"/>
          <w:lang w:val="en-US"/>
        </w:rPr>
        <w:t>Press release</w:t>
      </w:r>
    </w:p>
    <w:p w14:paraId="022E7B0A" w14:textId="77777777" w:rsidR="007456FE" w:rsidRPr="00637329" w:rsidRDefault="007456FE" w:rsidP="003A652A">
      <w:pPr>
        <w:jc w:val="right"/>
        <w:rPr>
          <w:rFonts w:ascii="Trebuchet MS" w:hAnsi="Trebuchet MS"/>
          <w:sz w:val="20"/>
          <w:szCs w:val="20"/>
          <w:lang w:val="en-US"/>
        </w:rPr>
      </w:pPr>
      <w:r w:rsidRPr="00637329">
        <w:rPr>
          <w:rFonts w:ascii="Trebuchet MS" w:hAnsi="Trebuchet MS"/>
          <w:sz w:val="20"/>
          <w:szCs w:val="20"/>
          <w:lang w:val="en-US"/>
        </w:rPr>
        <w:t>Warsaw, May 8, 2025</w:t>
      </w:r>
    </w:p>
    <w:p w14:paraId="4C32EAE0" w14:textId="77777777" w:rsidR="007456FE" w:rsidRPr="00637329" w:rsidRDefault="007456FE" w:rsidP="007456FE">
      <w:pPr>
        <w:jc w:val="both"/>
        <w:rPr>
          <w:rFonts w:ascii="Trebuchet MS" w:hAnsi="Trebuchet MS"/>
          <w:sz w:val="20"/>
          <w:szCs w:val="20"/>
          <w:lang w:val="en-US"/>
        </w:rPr>
      </w:pPr>
    </w:p>
    <w:p w14:paraId="58696EB7" w14:textId="77777777" w:rsidR="007456FE" w:rsidRPr="00637329" w:rsidRDefault="007456FE" w:rsidP="007456FE">
      <w:pPr>
        <w:jc w:val="center"/>
        <w:rPr>
          <w:rFonts w:ascii="Trebuchet MS" w:hAnsi="Trebuchet MS"/>
          <w:b/>
          <w:color w:val="1F3864" w:themeColor="accent1" w:themeShade="80"/>
          <w:sz w:val="20"/>
          <w:szCs w:val="20"/>
          <w:lang w:val="en-US"/>
        </w:rPr>
      </w:pPr>
      <w:r w:rsidRPr="00637329">
        <w:rPr>
          <w:rFonts w:ascii="Trebuchet MS" w:hAnsi="Trebuchet MS"/>
          <w:b/>
          <w:color w:val="1F3864" w:themeColor="accent1" w:themeShade="80"/>
          <w:sz w:val="20"/>
          <w:szCs w:val="20"/>
          <w:lang w:val="en-US"/>
        </w:rPr>
        <w:t xml:space="preserve">New Product from Grupa </w:t>
      </w:r>
      <w:proofErr w:type="spellStart"/>
      <w:r w:rsidRPr="00637329">
        <w:rPr>
          <w:rFonts w:ascii="Trebuchet MS" w:hAnsi="Trebuchet MS"/>
          <w:b/>
          <w:color w:val="1F3864" w:themeColor="accent1" w:themeShade="80"/>
          <w:sz w:val="20"/>
          <w:szCs w:val="20"/>
          <w:lang w:val="en-US"/>
        </w:rPr>
        <w:t>Azoty’s</w:t>
      </w:r>
      <w:proofErr w:type="spellEnd"/>
      <w:r w:rsidRPr="00637329">
        <w:rPr>
          <w:rFonts w:ascii="Trebuchet MS" w:hAnsi="Trebuchet MS"/>
          <w:b/>
          <w:color w:val="1F3864" w:themeColor="accent1" w:themeShade="80"/>
          <w:sz w:val="20"/>
          <w:szCs w:val="20"/>
          <w:lang w:val="en-US"/>
        </w:rPr>
        <w:t xml:space="preserve"> </w:t>
      </w:r>
      <w:proofErr w:type="spellStart"/>
      <w:r w:rsidRPr="00637329">
        <w:rPr>
          <w:rFonts w:ascii="Trebuchet MS" w:hAnsi="Trebuchet MS"/>
          <w:b/>
          <w:color w:val="1F3864" w:themeColor="accent1" w:themeShade="80"/>
          <w:sz w:val="20"/>
          <w:szCs w:val="20"/>
          <w:lang w:val="en-US"/>
        </w:rPr>
        <w:t>Polifoska</w:t>
      </w:r>
      <w:proofErr w:type="spellEnd"/>
      <w:r w:rsidRPr="00637329">
        <w:rPr>
          <w:rFonts w:ascii="Trebuchet MS" w:hAnsi="Trebuchet MS"/>
          <w:b/>
          <w:color w:val="1F3864" w:themeColor="accent1" w:themeShade="80"/>
          <w:sz w:val="20"/>
          <w:szCs w:val="20"/>
          <w:lang w:val="en-US"/>
        </w:rPr>
        <w:t xml:space="preserve"> Range</w:t>
      </w:r>
    </w:p>
    <w:p w14:paraId="5FC93D11" w14:textId="77777777" w:rsidR="007456FE" w:rsidRPr="00637329" w:rsidRDefault="007456FE" w:rsidP="007456FE">
      <w:pPr>
        <w:jc w:val="both"/>
        <w:rPr>
          <w:rFonts w:ascii="Trebuchet MS" w:hAnsi="Trebuchet MS"/>
          <w:sz w:val="20"/>
          <w:szCs w:val="20"/>
          <w:lang w:val="en-US"/>
        </w:rPr>
      </w:pPr>
      <w:r w:rsidRPr="00637329">
        <w:rPr>
          <w:rFonts w:ascii="Trebuchet MS" w:hAnsi="Trebuchet MS"/>
          <w:b/>
          <w:color w:val="1F3864" w:themeColor="accent1" w:themeShade="80"/>
          <w:sz w:val="20"/>
          <w:szCs w:val="20"/>
          <w:lang w:val="en-US"/>
        </w:rPr>
        <w:t xml:space="preserve">Grupa </w:t>
      </w:r>
      <w:proofErr w:type="spellStart"/>
      <w:r w:rsidRPr="00637329">
        <w:rPr>
          <w:rFonts w:ascii="Trebuchet MS" w:hAnsi="Trebuchet MS"/>
          <w:b/>
          <w:color w:val="1F3864" w:themeColor="accent1" w:themeShade="80"/>
          <w:sz w:val="20"/>
          <w:szCs w:val="20"/>
          <w:lang w:val="en-US"/>
        </w:rPr>
        <w:t>Azoty</w:t>
      </w:r>
      <w:proofErr w:type="spellEnd"/>
      <w:r w:rsidRPr="00637329">
        <w:rPr>
          <w:rFonts w:ascii="Trebuchet MS" w:hAnsi="Trebuchet MS"/>
          <w:b/>
          <w:color w:val="1F3864" w:themeColor="accent1" w:themeShade="80"/>
          <w:sz w:val="20"/>
          <w:szCs w:val="20"/>
          <w:lang w:val="en-US"/>
        </w:rPr>
        <w:t xml:space="preserve"> has expanded its product portfolio with a new multi-nutrient fertilizer. Produced in Police, POLIFOSKA Multi B guarantees a high concentration of water-soluble nutrients, ensuring rapid availability for crops. The fertilizer is enriched with boron and sulfur.</w:t>
      </w:r>
    </w:p>
    <w:p w14:paraId="4638A62B" w14:textId="77777777" w:rsidR="007456FE" w:rsidRPr="00637329" w:rsidRDefault="007456FE" w:rsidP="007456FE">
      <w:pPr>
        <w:jc w:val="both"/>
        <w:rPr>
          <w:rFonts w:ascii="Trebuchet MS" w:hAnsi="Trebuchet MS"/>
          <w:sz w:val="20"/>
          <w:szCs w:val="20"/>
          <w:lang w:val="en-US"/>
        </w:rPr>
      </w:pPr>
      <w:r w:rsidRPr="00637329">
        <w:rPr>
          <w:rFonts w:ascii="Trebuchet MS" w:hAnsi="Trebuchet MS"/>
          <w:sz w:val="20"/>
          <w:szCs w:val="20"/>
          <w:lang w:val="en-US"/>
        </w:rPr>
        <w:t xml:space="preserve">This is the latest addition from Grupa </w:t>
      </w:r>
      <w:proofErr w:type="spellStart"/>
      <w:r w:rsidRPr="00637329">
        <w:rPr>
          <w:rFonts w:ascii="Trebuchet MS" w:hAnsi="Trebuchet MS"/>
          <w:sz w:val="20"/>
          <w:szCs w:val="20"/>
          <w:lang w:val="en-US"/>
        </w:rPr>
        <w:t>Azoty</w:t>
      </w:r>
      <w:proofErr w:type="spellEnd"/>
      <w:r w:rsidRPr="00637329">
        <w:rPr>
          <w:rFonts w:ascii="Trebuchet MS" w:hAnsi="Trebuchet MS"/>
          <w:sz w:val="20"/>
          <w:szCs w:val="20"/>
          <w:lang w:val="en-US"/>
        </w:rPr>
        <w:t xml:space="preserve"> in recent months. Previous product launches included FOLIRES, POLIFOSKA Multi S, </w:t>
      </w:r>
      <w:proofErr w:type="spellStart"/>
      <w:r w:rsidRPr="00637329">
        <w:rPr>
          <w:rFonts w:ascii="Trebuchet MS" w:hAnsi="Trebuchet MS"/>
          <w:sz w:val="20"/>
          <w:szCs w:val="20"/>
          <w:lang w:val="en-US"/>
        </w:rPr>
        <w:t>megAN</w:t>
      </w:r>
      <w:proofErr w:type="spellEnd"/>
      <w:r w:rsidRPr="00637329">
        <w:rPr>
          <w:rFonts w:ascii="Trebuchet MS" w:hAnsi="Trebuchet MS"/>
          <w:sz w:val="20"/>
          <w:szCs w:val="20"/>
          <w:lang w:val="en-US"/>
        </w:rPr>
        <w:t xml:space="preserve">, RSM </w:t>
      </w:r>
      <w:proofErr w:type="spellStart"/>
      <w:r w:rsidRPr="00637329">
        <w:rPr>
          <w:rFonts w:ascii="Trebuchet MS" w:hAnsi="Trebuchet MS"/>
          <w:sz w:val="20"/>
          <w:szCs w:val="20"/>
          <w:lang w:val="en-US"/>
        </w:rPr>
        <w:t>BioShot</w:t>
      </w:r>
      <w:proofErr w:type="spellEnd"/>
      <w:r w:rsidRPr="00637329">
        <w:rPr>
          <w:rFonts w:ascii="Trebuchet MS" w:hAnsi="Trebuchet MS"/>
          <w:sz w:val="20"/>
          <w:szCs w:val="20"/>
          <w:lang w:val="en-US"/>
        </w:rPr>
        <w:t xml:space="preserve">, RSM OPTIMA, </w:t>
      </w:r>
      <w:proofErr w:type="spellStart"/>
      <w:r w:rsidRPr="00637329">
        <w:rPr>
          <w:rFonts w:ascii="Trebuchet MS" w:hAnsi="Trebuchet MS"/>
          <w:sz w:val="20"/>
          <w:szCs w:val="20"/>
          <w:lang w:val="en-US"/>
        </w:rPr>
        <w:t>eNpluS</w:t>
      </w:r>
      <w:proofErr w:type="spellEnd"/>
      <w:r w:rsidRPr="00637329">
        <w:rPr>
          <w:rFonts w:ascii="Trebuchet MS" w:hAnsi="Trebuchet MS"/>
          <w:sz w:val="20"/>
          <w:szCs w:val="20"/>
          <w:lang w:val="en-US"/>
        </w:rPr>
        <w:t xml:space="preserve">, and </w:t>
      </w:r>
      <w:proofErr w:type="spellStart"/>
      <w:r w:rsidRPr="00637329">
        <w:rPr>
          <w:rFonts w:ascii="Trebuchet MS" w:hAnsi="Trebuchet MS"/>
          <w:sz w:val="20"/>
          <w:szCs w:val="20"/>
          <w:lang w:val="en-US"/>
        </w:rPr>
        <w:t>MultiCorn</w:t>
      </w:r>
      <w:proofErr w:type="spellEnd"/>
      <w:r w:rsidRPr="00637329">
        <w:rPr>
          <w:rFonts w:ascii="Trebuchet MS" w:hAnsi="Trebuchet MS"/>
          <w:sz w:val="20"/>
          <w:szCs w:val="20"/>
          <w:lang w:val="en-US"/>
        </w:rPr>
        <w:t>.</w:t>
      </w:r>
    </w:p>
    <w:p w14:paraId="064B962B" w14:textId="77777777" w:rsidR="007456FE" w:rsidRPr="00637329" w:rsidRDefault="007456FE" w:rsidP="007456FE">
      <w:pPr>
        <w:jc w:val="both"/>
        <w:rPr>
          <w:rFonts w:ascii="Trebuchet MS" w:hAnsi="Trebuchet MS"/>
          <w:sz w:val="20"/>
          <w:szCs w:val="20"/>
          <w:lang w:val="en-US"/>
        </w:rPr>
      </w:pPr>
      <w:r w:rsidRPr="00637329">
        <w:rPr>
          <w:rFonts w:ascii="Trebuchet MS" w:hAnsi="Trebuchet MS"/>
          <w:i/>
          <w:sz w:val="20"/>
          <w:szCs w:val="20"/>
          <w:lang w:val="en-US"/>
        </w:rPr>
        <w:t xml:space="preserve">‘Grupa </w:t>
      </w:r>
      <w:proofErr w:type="spellStart"/>
      <w:r w:rsidRPr="00637329">
        <w:rPr>
          <w:rFonts w:ascii="Trebuchet MS" w:hAnsi="Trebuchet MS"/>
          <w:i/>
          <w:sz w:val="20"/>
          <w:szCs w:val="20"/>
          <w:lang w:val="en-US"/>
        </w:rPr>
        <w:t>Azoty</w:t>
      </w:r>
      <w:proofErr w:type="spellEnd"/>
      <w:r w:rsidRPr="00637329">
        <w:rPr>
          <w:rFonts w:ascii="Trebuchet MS" w:hAnsi="Trebuchet MS"/>
          <w:i/>
          <w:sz w:val="20"/>
          <w:szCs w:val="20"/>
          <w:lang w:val="en-US"/>
        </w:rPr>
        <w:t xml:space="preserve"> has recently introduced several noteworthy products designed to help farmers achieve higher yields. The latest addition, POLIFOSKA Multi B, is intended for pre-sowing application across all agricultural, vegetable, orchard, and grassland crops. It is suitable for all soil types, regardless of pH and texture. It is particularly recommended for potassium-deficient soils, in conditions of low organic fertilization, and for potassium-loving crops such as sugar beets, potatoes, corn, and rapeseed, as well as for cereals when straw is harvested,</w:t>
      </w:r>
      <w:r w:rsidRPr="00637329">
        <w:rPr>
          <w:rFonts w:ascii="Trebuchet MS" w:hAnsi="Trebuchet MS"/>
          <w:sz w:val="20"/>
          <w:szCs w:val="20"/>
          <w:lang w:val="en-US"/>
        </w:rPr>
        <w:t xml:space="preserve"> </w:t>
      </w:r>
      <w:r w:rsidRPr="00637329">
        <w:rPr>
          <w:rFonts w:ascii="Trebuchet MS" w:hAnsi="Trebuchet MS"/>
          <w:b/>
          <w:sz w:val="20"/>
          <w:szCs w:val="20"/>
          <w:lang w:val="en-US"/>
        </w:rPr>
        <w:t xml:space="preserve">said Jacek Zaborowski, Director of the </w:t>
      </w:r>
      <w:proofErr w:type="spellStart"/>
      <w:r w:rsidRPr="00637329">
        <w:rPr>
          <w:rFonts w:ascii="Trebuchet MS" w:hAnsi="Trebuchet MS"/>
          <w:b/>
          <w:sz w:val="20"/>
          <w:szCs w:val="20"/>
          <w:lang w:val="en-US"/>
        </w:rPr>
        <w:t>Agro</w:t>
      </w:r>
      <w:proofErr w:type="spellEnd"/>
      <w:r w:rsidRPr="00637329">
        <w:rPr>
          <w:rFonts w:ascii="Trebuchet MS" w:hAnsi="Trebuchet MS"/>
          <w:b/>
          <w:sz w:val="20"/>
          <w:szCs w:val="20"/>
          <w:lang w:val="en-US"/>
        </w:rPr>
        <w:t xml:space="preserve"> Segment Corporate Trade Department at Grupa </w:t>
      </w:r>
      <w:proofErr w:type="spellStart"/>
      <w:r w:rsidRPr="00637329">
        <w:rPr>
          <w:rFonts w:ascii="Trebuchet MS" w:hAnsi="Trebuchet MS"/>
          <w:b/>
          <w:sz w:val="20"/>
          <w:szCs w:val="20"/>
          <w:lang w:val="en-US"/>
        </w:rPr>
        <w:t>Azoty</w:t>
      </w:r>
      <w:proofErr w:type="spellEnd"/>
      <w:r w:rsidRPr="00637329">
        <w:rPr>
          <w:rFonts w:ascii="Trebuchet MS" w:hAnsi="Trebuchet MS"/>
          <w:sz w:val="20"/>
          <w:szCs w:val="20"/>
          <w:lang w:val="en-US"/>
        </w:rPr>
        <w:t>.</w:t>
      </w:r>
    </w:p>
    <w:p w14:paraId="1CCC9B3B" w14:textId="77777777" w:rsidR="007456FE" w:rsidRPr="00637329" w:rsidRDefault="007456FE" w:rsidP="007456FE">
      <w:pPr>
        <w:jc w:val="both"/>
        <w:rPr>
          <w:rFonts w:ascii="Trebuchet MS" w:hAnsi="Trebuchet MS"/>
          <w:b/>
          <w:sz w:val="20"/>
          <w:szCs w:val="20"/>
          <w:lang w:val="en-US"/>
        </w:rPr>
      </w:pPr>
      <w:r w:rsidRPr="00637329">
        <w:rPr>
          <w:rFonts w:ascii="Trebuchet MS" w:hAnsi="Trebuchet MS"/>
          <w:b/>
          <w:sz w:val="20"/>
          <w:szCs w:val="20"/>
          <w:lang w:val="en-US"/>
        </w:rPr>
        <w:t>Composition, Application, and Benefits</w:t>
      </w:r>
    </w:p>
    <w:p w14:paraId="706BF555" w14:textId="77777777" w:rsidR="007456FE" w:rsidRPr="00637329" w:rsidRDefault="007456FE" w:rsidP="007456FE">
      <w:pPr>
        <w:jc w:val="both"/>
        <w:rPr>
          <w:rFonts w:ascii="Trebuchet MS" w:hAnsi="Trebuchet MS"/>
          <w:sz w:val="20"/>
          <w:szCs w:val="20"/>
          <w:lang w:val="en-US"/>
        </w:rPr>
      </w:pPr>
      <w:r w:rsidRPr="00637329">
        <w:rPr>
          <w:rFonts w:ascii="Trebuchet MS" w:hAnsi="Trebuchet MS"/>
          <w:sz w:val="20"/>
          <w:szCs w:val="20"/>
          <w:lang w:val="en-US"/>
        </w:rPr>
        <w:t>POLIFOSKA Multi B contains 5% nitrogen in ammonium form, 10% phosphorus soluble in neutral ammonium citrate and 9% soluble in water. Additionally, the fertilizer contains 30% potassium in the form of potassium chloride, 16% sulfur trioxide in the form of sulfate, 5% calcium, and 0.2% boron as a microelement.</w:t>
      </w:r>
    </w:p>
    <w:p w14:paraId="78AFA1FB" w14:textId="77777777" w:rsidR="007456FE" w:rsidRPr="00637329" w:rsidRDefault="007456FE" w:rsidP="007456FE">
      <w:pPr>
        <w:jc w:val="both"/>
        <w:rPr>
          <w:rFonts w:ascii="Trebuchet MS" w:hAnsi="Trebuchet MS"/>
          <w:sz w:val="20"/>
          <w:szCs w:val="20"/>
          <w:lang w:val="en-US"/>
        </w:rPr>
      </w:pPr>
      <w:r w:rsidRPr="00637329">
        <w:rPr>
          <w:rFonts w:ascii="Trebuchet MS" w:hAnsi="Trebuchet MS"/>
          <w:b/>
          <w:sz w:val="20"/>
          <w:szCs w:val="20"/>
          <w:lang w:val="en-US"/>
        </w:rPr>
        <w:t>Ammonium nitrogen</w:t>
      </w:r>
      <w:r w:rsidRPr="00637329">
        <w:rPr>
          <w:rFonts w:ascii="Trebuchet MS" w:hAnsi="Trebuchet MS"/>
          <w:sz w:val="20"/>
          <w:szCs w:val="20"/>
          <w:lang w:val="en-US"/>
        </w:rPr>
        <w:t xml:space="preserve"> is not easily leached from the soil and is steadily absorbed by plants, promoting phosphorus uptake and reducing excessive potassium absorption. The ammonium form is also safer for crops in the event of anticipated frosts. </w:t>
      </w:r>
      <w:r w:rsidRPr="00637329">
        <w:rPr>
          <w:rFonts w:ascii="Trebuchet MS" w:hAnsi="Trebuchet MS"/>
          <w:b/>
          <w:sz w:val="20"/>
          <w:szCs w:val="20"/>
          <w:lang w:val="en-US"/>
        </w:rPr>
        <w:t>Phosphorus in ammonium phosphate form</w:t>
      </w:r>
      <w:r w:rsidRPr="00637329">
        <w:rPr>
          <w:rFonts w:ascii="Trebuchet MS" w:hAnsi="Trebuchet MS"/>
          <w:sz w:val="20"/>
          <w:szCs w:val="20"/>
          <w:lang w:val="en-US"/>
        </w:rPr>
        <w:t xml:space="preserve"> is the most readily assimilable form, effective even under water-deficit conditions in the soil.</w:t>
      </w:r>
    </w:p>
    <w:p w14:paraId="04E60DCD" w14:textId="77777777" w:rsidR="007456FE" w:rsidRPr="00637329" w:rsidRDefault="007456FE" w:rsidP="007456FE">
      <w:pPr>
        <w:jc w:val="both"/>
        <w:rPr>
          <w:rFonts w:ascii="Trebuchet MS" w:hAnsi="Trebuchet MS"/>
          <w:b/>
          <w:sz w:val="20"/>
          <w:szCs w:val="20"/>
          <w:lang w:val="en-US"/>
        </w:rPr>
      </w:pPr>
      <w:r w:rsidRPr="00637329">
        <w:rPr>
          <w:rFonts w:ascii="Trebuchet MS" w:hAnsi="Trebuchet MS"/>
          <w:b/>
          <w:sz w:val="20"/>
          <w:szCs w:val="20"/>
          <w:lang w:val="en-US"/>
        </w:rPr>
        <w:t>The Crucial Roles of Potassium and Boron</w:t>
      </w:r>
    </w:p>
    <w:p w14:paraId="08AC2F71" w14:textId="77777777" w:rsidR="007456FE" w:rsidRPr="00637329" w:rsidRDefault="007456FE" w:rsidP="007456FE">
      <w:pPr>
        <w:jc w:val="both"/>
        <w:rPr>
          <w:rFonts w:ascii="Trebuchet MS" w:hAnsi="Trebuchet MS"/>
          <w:sz w:val="20"/>
          <w:szCs w:val="20"/>
          <w:lang w:val="en-US"/>
        </w:rPr>
      </w:pPr>
      <w:r w:rsidRPr="00637329">
        <w:rPr>
          <w:rFonts w:ascii="Trebuchet MS" w:hAnsi="Trebuchet MS"/>
          <w:b/>
          <w:sz w:val="20"/>
          <w:szCs w:val="20"/>
          <w:lang w:val="en-US"/>
        </w:rPr>
        <w:t>Potassium</w:t>
      </w:r>
      <w:r w:rsidRPr="00637329">
        <w:rPr>
          <w:rFonts w:ascii="Trebuchet MS" w:hAnsi="Trebuchet MS"/>
          <w:sz w:val="20"/>
          <w:szCs w:val="20"/>
          <w:lang w:val="en-US"/>
        </w:rPr>
        <w:t xml:space="preserve"> plays a critical role in minimizing stress factors for crops. It regulates water management in plants, enhancing drought tolerance and activating enzymes necessary for proper growth. Additionally, potassium increases resistance to temperature extremes, fungal and bacterial diseases, reduces lodging, and improves nitrogen absorption and crop productivity. Proper potassium nutrition ensures good nitrogen availability from the start of vegetation, essential for rapid post-winter recovery.</w:t>
      </w:r>
    </w:p>
    <w:p w14:paraId="50A4BDD8" w14:textId="77777777" w:rsidR="007456FE" w:rsidRPr="00637329" w:rsidRDefault="007456FE" w:rsidP="007456FE">
      <w:pPr>
        <w:jc w:val="both"/>
        <w:rPr>
          <w:rFonts w:ascii="Trebuchet MS" w:hAnsi="Trebuchet MS"/>
          <w:sz w:val="20"/>
          <w:szCs w:val="20"/>
          <w:lang w:val="en-US"/>
        </w:rPr>
      </w:pPr>
      <w:r w:rsidRPr="00637329">
        <w:rPr>
          <w:rFonts w:ascii="Trebuchet MS" w:hAnsi="Trebuchet MS"/>
          <w:b/>
          <w:sz w:val="20"/>
          <w:szCs w:val="20"/>
          <w:lang w:val="en-US"/>
        </w:rPr>
        <w:t>Boron</w:t>
      </w:r>
      <w:r w:rsidRPr="00637329">
        <w:rPr>
          <w:rFonts w:ascii="Trebuchet MS" w:hAnsi="Trebuchet MS"/>
          <w:sz w:val="20"/>
          <w:szCs w:val="20"/>
          <w:lang w:val="en-US"/>
        </w:rPr>
        <w:t>, as an essential microelement, promotes the proper development of generative organs (pistil, anther, pollen) and the youngest parts of shoots and roots. It positively influences flowering, water management, respiration processes, and the proper development of conductive tissues (ensuring proper calcium distribution in the plant). It also increases resistance to lodging, pathogen attacks, and mechanical damage. Boron is vital for photosynthesis and respiration, nitrogen metabolism, hormonal balance, and carbohydrate transport. Its presence is particularly crucial in young tissues experiencing intensive growth and development. It also ensures the proper development of the root system.</w:t>
      </w:r>
    </w:p>
    <w:p w14:paraId="5B13DF5C" w14:textId="77777777" w:rsidR="007456FE" w:rsidRPr="00637329" w:rsidRDefault="007456FE" w:rsidP="007456FE">
      <w:pPr>
        <w:jc w:val="both"/>
        <w:rPr>
          <w:rFonts w:ascii="Trebuchet MS" w:hAnsi="Trebuchet MS"/>
          <w:sz w:val="20"/>
          <w:szCs w:val="20"/>
          <w:lang w:val="en-US"/>
        </w:rPr>
      </w:pPr>
      <w:r w:rsidRPr="00637329">
        <w:rPr>
          <w:rFonts w:ascii="Trebuchet MS" w:hAnsi="Trebuchet MS"/>
          <w:sz w:val="20"/>
          <w:szCs w:val="20"/>
          <w:lang w:val="en-US"/>
        </w:rPr>
        <w:t>The well-balanced composition of POLIFOSKA Multi B promotes root development and overall plant growth from the post-emergence stage. Applied pre-sowing, it enhances plant resistance to frost and drought, promotes full flowering, uniform ripening, and high-quality yields.</w:t>
      </w:r>
    </w:p>
    <w:p w14:paraId="246CA8BC" w14:textId="77777777" w:rsidR="007456FE" w:rsidRDefault="007456FE" w:rsidP="007456FE">
      <w:pPr>
        <w:jc w:val="both"/>
        <w:rPr>
          <w:rFonts w:ascii="Trebuchet MS" w:hAnsi="Trebuchet MS"/>
          <w:sz w:val="20"/>
          <w:szCs w:val="20"/>
          <w:lang w:val="en-US"/>
        </w:rPr>
      </w:pPr>
      <w:r w:rsidRPr="00637329">
        <w:rPr>
          <w:rFonts w:ascii="Trebuchet MS" w:hAnsi="Trebuchet MS"/>
          <w:sz w:val="20"/>
          <w:szCs w:val="20"/>
          <w:lang w:val="en-US"/>
        </w:rPr>
        <w:lastRenderedPageBreak/>
        <w:t>POLIFOSKA Multi B should be applied pre-sowing by evenly distributing and mixing it with the soil at a depth of 10-20 cm. For winter cereals and perennial crops, it can be top-dressed in early spring. It can be mixed directly before spreading with urea, ammonium nitrate, and ammonium sulfate or at any time with potassium chloride.</w:t>
      </w:r>
    </w:p>
    <w:p w14:paraId="779205BE" w14:textId="77777777" w:rsidR="007456FE" w:rsidRDefault="007456FE" w:rsidP="007456FE">
      <w:pPr>
        <w:spacing w:before="240" w:after="240" w:line="240" w:lineRule="auto"/>
        <w:jc w:val="center"/>
        <w:rPr>
          <w:rFonts w:ascii="Trebuchet MS" w:eastAsia="Times New Roman" w:hAnsi="Trebuchet MS" w:cs="Times New Roman"/>
          <w:color w:val="000000"/>
          <w:sz w:val="20"/>
          <w:szCs w:val="20"/>
          <w:lang w:val="en-US" w:eastAsia="pl-PL"/>
        </w:rPr>
      </w:pPr>
    </w:p>
    <w:p w14:paraId="37F334DF" w14:textId="77777777" w:rsidR="007456FE" w:rsidRPr="009E7364" w:rsidRDefault="007456FE" w:rsidP="007456FE">
      <w:pPr>
        <w:spacing w:before="240" w:after="240" w:line="240" w:lineRule="auto"/>
        <w:jc w:val="center"/>
        <w:rPr>
          <w:rFonts w:ascii="Times New Roman" w:eastAsia="Times New Roman" w:hAnsi="Times New Roman" w:cs="Times New Roman"/>
          <w:sz w:val="24"/>
          <w:szCs w:val="24"/>
          <w:lang w:val="en-US" w:eastAsia="pl-PL"/>
        </w:rPr>
      </w:pPr>
      <w:r w:rsidRPr="009E7364">
        <w:rPr>
          <w:rFonts w:ascii="Trebuchet MS" w:eastAsia="Times New Roman" w:hAnsi="Trebuchet MS" w:cs="Times New Roman"/>
          <w:color w:val="000000"/>
          <w:sz w:val="20"/>
          <w:szCs w:val="20"/>
          <w:lang w:val="en-US" w:eastAsia="pl-PL"/>
        </w:rPr>
        <w:t>* * *</w:t>
      </w:r>
    </w:p>
    <w:p w14:paraId="084029C1" w14:textId="77777777" w:rsidR="007456FE" w:rsidRPr="001E34B2" w:rsidRDefault="007456FE" w:rsidP="007456FE">
      <w:pPr>
        <w:jc w:val="both"/>
        <w:rPr>
          <w:rFonts w:ascii="Trebuchet MS" w:hAnsi="Trebuchet MS"/>
          <w:sz w:val="20"/>
          <w:szCs w:val="20"/>
          <w:lang w:val="en-US"/>
        </w:rPr>
      </w:pPr>
      <w:r w:rsidRPr="006F05D2">
        <w:rPr>
          <w:rFonts w:ascii="Trebuchet MS" w:eastAsia="Times New Roman" w:hAnsi="Trebuchet MS" w:cs="Times New Roman"/>
          <w:color w:val="000000"/>
          <w:sz w:val="20"/>
          <w:szCs w:val="20"/>
          <w:lang w:val="en-US" w:eastAsia="pl-PL"/>
        </w:rPr>
        <w:t xml:space="preserve">Grupa </w:t>
      </w:r>
      <w:proofErr w:type="spellStart"/>
      <w:r w:rsidRPr="006F05D2">
        <w:rPr>
          <w:rFonts w:ascii="Trebuchet MS" w:eastAsia="Times New Roman" w:hAnsi="Trebuchet MS" w:cs="Times New Roman"/>
          <w:color w:val="000000"/>
          <w:sz w:val="20"/>
          <w:szCs w:val="20"/>
          <w:lang w:val="en-US" w:eastAsia="pl-PL"/>
        </w:rPr>
        <w:t>Azoty</w:t>
      </w:r>
      <w:proofErr w:type="spellEnd"/>
      <w:r w:rsidRPr="006F05D2">
        <w:rPr>
          <w:rFonts w:ascii="Trebuchet MS" w:eastAsia="Times New Roman" w:hAnsi="Trebuchet MS" w:cs="Times New Roman"/>
          <w:color w:val="000000"/>
          <w:sz w:val="20"/>
          <w:szCs w:val="20"/>
          <w:lang w:val="en-US" w:eastAsia="pl-PL"/>
        </w:rPr>
        <w:t xml:space="preserve"> is one of the key capital groups in the fertilizer and chemical industries in Europe. It ranks second in the European Union for nitrogen and multi-component fertilizer production and holds a strong position in markets for products such as melamine, polyamide, OXO alcohols, plasticizers,</w:t>
      </w:r>
      <w:r w:rsidRPr="000A317F">
        <w:rPr>
          <w:rFonts w:ascii="Trebuchet MS" w:eastAsia="Times New Roman" w:hAnsi="Trebuchet MS" w:cs="Times New Roman"/>
          <w:color w:val="000000"/>
          <w:sz w:val="20"/>
          <w:szCs w:val="20"/>
          <w:lang w:val="en-US" w:eastAsia="pl-PL"/>
        </w:rPr>
        <w:t xml:space="preserve"> </w:t>
      </w:r>
      <w:r w:rsidRPr="006F05D2">
        <w:rPr>
          <w:rFonts w:ascii="Trebuchet MS" w:eastAsia="Times New Roman" w:hAnsi="Trebuchet MS" w:cs="Times New Roman"/>
          <w:color w:val="000000"/>
          <w:sz w:val="20"/>
          <w:szCs w:val="20"/>
          <w:lang w:val="en-US" w:eastAsia="pl-PL"/>
        </w:rPr>
        <w:t>and titanium dioxide.</w:t>
      </w:r>
    </w:p>
    <w:p w14:paraId="208E8351" w14:textId="77777777" w:rsidR="007456FE" w:rsidRPr="00637329" w:rsidRDefault="007456FE" w:rsidP="007456FE">
      <w:pPr>
        <w:jc w:val="both"/>
        <w:rPr>
          <w:rFonts w:ascii="Trebuchet MS" w:hAnsi="Trebuchet MS"/>
          <w:sz w:val="20"/>
          <w:szCs w:val="20"/>
          <w:lang w:val="en-US"/>
        </w:rPr>
      </w:pPr>
    </w:p>
    <w:p w14:paraId="3276CE1F" w14:textId="6D92AF8C" w:rsidR="00282106" w:rsidRPr="007456FE" w:rsidRDefault="00282106" w:rsidP="007456FE"/>
    <w:sectPr w:rsidR="00282106" w:rsidRPr="007456FE" w:rsidSect="00374A40">
      <w:headerReference w:type="default" r:id="rId8"/>
      <w:pgSz w:w="11906" w:h="16838"/>
      <w:pgMar w:top="2682"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3573A8" w14:textId="77777777" w:rsidR="00771DF5" w:rsidRDefault="00771DF5" w:rsidP="00122F15">
      <w:pPr>
        <w:spacing w:after="0" w:line="240" w:lineRule="auto"/>
      </w:pPr>
      <w:r>
        <w:separator/>
      </w:r>
    </w:p>
  </w:endnote>
  <w:endnote w:type="continuationSeparator" w:id="0">
    <w:p w14:paraId="20CBDE39" w14:textId="77777777" w:rsidR="00771DF5" w:rsidRDefault="00771DF5" w:rsidP="00122F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rebuchet MS">
    <w:panose1 w:val="020B0603020202020204"/>
    <w:charset w:val="EE"/>
    <w:family w:val="swiss"/>
    <w:pitch w:val="variable"/>
    <w:sig w:usb0="000006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61F6EE" w14:textId="77777777" w:rsidR="00771DF5" w:rsidRDefault="00771DF5" w:rsidP="00122F15">
      <w:pPr>
        <w:spacing w:after="0" w:line="240" w:lineRule="auto"/>
      </w:pPr>
      <w:r>
        <w:separator/>
      </w:r>
    </w:p>
  </w:footnote>
  <w:footnote w:type="continuationSeparator" w:id="0">
    <w:p w14:paraId="4C871FB7" w14:textId="77777777" w:rsidR="00771DF5" w:rsidRDefault="00771DF5" w:rsidP="00122F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F43893" w14:textId="09FBF3DF" w:rsidR="00374A40" w:rsidRDefault="00374A40">
    <w:pPr>
      <w:pStyle w:val="Nagwek"/>
    </w:pPr>
    <w:r>
      <w:rPr>
        <w:noProof/>
        <w:lang w:eastAsia="pl-PL"/>
      </w:rPr>
      <w:drawing>
        <wp:anchor distT="0" distB="0" distL="114300" distR="114300" simplePos="0" relativeHeight="251659264" behindDoc="0" locked="0" layoutInCell="1" allowOverlap="1" wp14:anchorId="21C770E1" wp14:editId="7B422A6C">
          <wp:simplePos x="0" y="0"/>
          <wp:positionH relativeFrom="margin">
            <wp:posOffset>0</wp:posOffset>
          </wp:positionH>
          <wp:positionV relativeFrom="paragraph">
            <wp:posOffset>-635</wp:posOffset>
          </wp:positionV>
          <wp:extent cx="1197980" cy="996215"/>
          <wp:effectExtent l="0" t="0" r="2540" b="0"/>
          <wp:wrapNone/>
          <wp:docPr id="16" name="Obraz 16" descr="Znalezione obrazy dla zapytania grupa azo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lezione obrazy dla zapytania grupa azoty logo"/>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609" t="1183" r="13437" b="304"/>
                  <a:stretch/>
                </pic:blipFill>
                <pic:spPr bwMode="auto">
                  <a:xfrm>
                    <a:off x="0" y="0"/>
                    <a:ext cx="1197980" cy="9962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E72772"/>
    <w:multiLevelType w:val="hybridMultilevel"/>
    <w:tmpl w:val="28989F98"/>
    <w:lvl w:ilvl="0" w:tplc="ADD07190">
      <w:start w:val="1"/>
      <w:numFmt w:val="decimal"/>
      <w:lvlText w:val="%1."/>
      <w:lvlJc w:val="left"/>
      <w:pPr>
        <w:ind w:left="720" w:hanging="360"/>
      </w:pPr>
      <w:rPr>
        <w:rFonts w:ascii="Trebuchet MS" w:eastAsia="Times New Roman" w:hAnsi="Trebuchet MS" w:cs="Arial" w:hint="default"/>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5E31050"/>
    <w:multiLevelType w:val="hybridMultilevel"/>
    <w:tmpl w:val="F578924E"/>
    <w:lvl w:ilvl="0" w:tplc="3E7C813A">
      <w:start w:val="1"/>
      <w:numFmt w:val="bullet"/>
      <w:lvlText w:val="•"/>
      <w:lvlJc w:val="left"/>
      <w:pPr>
        <w:tabs>
          <w:tab w:val="num" w:pos="720"/>
        </w:tabs>
        <w:ind w:left="720" w:hanging="360"/>
      </w:pPr>
      <w:rPr>
        <w:rFonts w:ascii="Arial" w:hAnsi="Arial" w:hint="default"/>
      </w:rPr>
    </w:lvl>
    <w:lvl w:ilvl="1" w:tplc="0476A6F0" w:tentative="1">
      <w:start w:val="1"/>
      <w:numFmt w:val="bullet"/>
      <w:lvlText w:val="•"/>
      <w:lvlJc w:val="left"/>
      <w:pPr>
        <w:tabs>
          <w:tab w:val="num" w:pos="1440"/>
        </w:tabs>
        <w:ind w:left="1440" w:hanging="360"/>
      </w:pPr>
      <w:rPr>
        <w:rFonts w:ascii="Arial" w:hAnsi="Arial" w:hint="default"/>
      </w:rPr>
    </w:lvl>
    <w:lvl w:ilvl="2" w:tplc="E62E010A" w:tentative="1">
      <w:start w:val="1"/>
      <w:numFmt w:val="bullet"/>
      <w:lvlText w:val="•"/>
      <w:lvlJc w:val="left"/>
      <w:pPr>
        <w:tabs>
          <w:tab w:val="num" w:pos="2160"/>
        </w:tabs>
        <w:ind w:left="2160" w:hanging="360"/>
      </w:pPr>
      <w:rPr>
        <w:rFonts w:ascii="Arial" w:hAnsi="Arial" w:hint="default"/>
      </w:rPr>
    </w:lvl>
    <w:lvl w:ilvl="3" w:tplc="1E40D506" w:tentative="1">
      <w:start w:val="1"/>
      <w:numFmt w:val="bullet"/>
      <w:lvlText w:val="•"/>
      <w:lvlJc w:val="left"/>
      <w:pPr>
        <w:tabs>
          <w:tab w:val="num" w:pos="2880"/>
        </w:tabs>
        <w:ind w:left="2880" w:hanging="360"/>
      </w:pPr>
      <w:rPr>
        <w:rFonts w:ascii="Arial" w:hAnsi="Arial" w:hint="default"/>
      </w:rPr>
    </w:lvl>
    <w:lvl w:ilvl="4" w:tplc="C918103C" w:tentative="1">
      <w:start w:val="1"/>
      <w:numFmt w:val="bullet"/>
      <w:lvlText w:val="•"/>
      <w:lvlJc w:val="left"/>
      <w:pPr>
        <w:tabs>
          <w:tab w:val="num" w:pos="3600"/>
        </w:tabs>
        <w:ind w:left="3600" w:hanging="360"/>
      </w:pPr>
      <w:rPr>
        <w:rFonts w:ascii="Arial" w:hAnsi="Arial" w:hint="default"/>
      </w:rPr>
    </w:lvl>
    <w:lvl w:ilvl="5" w:tplc="2ADCA8C2" w:tentative="1">
      <w:start w:val="1"/>
      <w:numFmt w:val="bullet"/>
      <w:lvlText w:val="•"/>
      <w:lvlJc w:val="left"/>
      <w:pPr>
        <w:tabs>
          <w:tab w:val="num" w:pos="4320"/>
        </w:tabs>
        <w:ind w:left="4320" w:hanging="360"/>
      </w:pPr>
      <w:rPr>
        <w:rFonts w:ascii="Arial" w:hAnsi="Arial" w:hint="default"/>
      </w:rPr>
    </w:lvl>
    <w:lvl w:ilvl="6" w:tplc="A0F6A6A8" w:tentative="1">
      <w:start w:val="1"/>
      <w:numFmt w:val="bullet"/>
      <w:lvlText w:val="•"/>
      <w:lvlJc w:val="left"/>
      <w:pPr>
        <w:tabs>
          <w:tab w:val="num" w:pos="5040"/>
        </w:tabs>
        <w:ind w:left="5040" w:hanging="360"/>
      </w:pPr>
      <w:rPr>
        <w:rFonts w:ascii="Arial" w:hAnsi="Arial" w:hint="default"/>
      </w:rPr>
    </w:lvl>
    <w:lvl w:ilvl="7" w:tplc="1178AB14" w:tentative="1">
      <w:start w:val="1"/>
      <w:numFmt w:val="bullet"/>
      <w:lvlText w:val="•"/>
      <w:lvlJc w:val="left"/>
      <w:pPr>
        <w:tabs>
          <w:tab w:val="num" w:pos="5760"/>
        </w:tabs>
        <w:ind w:left="5760" w:hanging="360"/>
      </w:pPr>
      <w:rPr>
        <w:rFonts w:ascii="Arial" w:hAnsi="Arial" w:hint="default"/>
      </w:rPr>
    </w:lvl>
    <w:lvl w:ilvl="8" w:tplc="BF7A5630"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2253F70"/>
    <w:multiLevelType w:val="hybridMultilevel"/>
    <w:tmpl w:val="CE9CBE4C"/>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52EB3E4D"/>
    <w:multiLevelType w:val="hybridMultilevel"/>
    <w:tmpl w:val="B460615A"/>
    <w:lvl w:ilvl="0" w:tplc="4AE24AAA">
      <w:start w:val="1"/>
      <w:numFmt w:val="bullet"/>
      <w:lvlText w:val="•"/>
      <w:lvlJc w:val="left"/>
      <w:pPr>
        <w:tabs>
          <w:tab w:val="num" w:pos="720"/>
        </w:tabs>
        <w:ind w:left="720" w:hanging="360"/>
      </w:pPr>
      <w:rPr>
        <w:rFonts w:ascii="Arial" w:hAnsi="Arial" w:hint="default"/>
      </w:rPr>
    </w:lvl>
    <w:lvl w:ilvl="1" w:tplc="BE9E22B2" w:tentative="1">
      <w:start w:val="1"/>
      <w:numFmt w:val="bullet"/>
      <w:lvlText w:val="•"/>
      <w:lvlJc w:val="left"/>
      <w:pPr>
        <w:tabs>
          <w:tab w:val="num" w:pos="1440"/>
        </w:tabs>
        <w:ind w:left="1440" w:hanging="360"/>
      </w:pPr>
      <w:rPr>
        <w:rFonts w:ascii="Arial" w:hAnsi="Arial" w:hint="default"/>
      </w:rPr>
    </w:lvl>
    <w:lvl w:ilvl="2" w:tplc="9112FBA2" w:tentative="1">
      <w:start w:val="1"/>
      <w:numFmt w:val="bullet"/>
      <w:lvlText w:val="•"/>
      <w:lvlJc w:val="left"/>
      <w:pPr>
        <w:tabs>
          <w:tab w:val="num" w:pos="2160"/>
        </w:tabs>
        <w:ind w:left="2160" w:hanging="360"/>
      </w:pPr>
      <w:rPr>
        <w:rFonts w:ascii="Arial" w:hAnsi="Arial" w:hint="default"/>
      </w:rPr>
    </w:lvl>
    <w:lvl w:ilvl="3" w:tplc="3A1A7438" w:tentative="1">
      <w:start w:val="1"/>
      <w:numFmt w:val="bullet"/>
      <w:lvlText w:val="•"/>
      <w:lvlJc w:val="left"/>
      <w:pPr>
        <w:tabs>
          <w:tab w:val="num" w:pos="2880"/>
        </w:tabs>
        <w:ind w:left="2880" w:hanging="360"/>
      </w:pPr>
      <w:rPr>
        <w:rFonts w:ascii="Arial" w:hAnsi="Arial" w:hint="default"/>
      </w:rPr>
    </w:lvl>
    <w:lvl w:ilvl="4" w:tplc="0E1EEED0" w:tentative="1">
      <w:start w:val="1"/>
      <w:numFmt w:val="bullet"/>
      <w:lvlText w:val="•"/>
      <w:lvlJc w:val="left"/>
      <w:pPr>
        <w:tabs>
          <w:tab w:val="num" w:pos="3600"/>
        </w:tabs>
        <w:ind w:left="3600" w:hanging="360"/>
      </w:pPr>
      <w:rPr>
        <w:rFonts w:ascii="Arial" w:hAnsi="Arial" w:hint="default"/>
      </w:rPr>
    </w:lvl>
    <w:lvl w:ilvl="5" w:tplc="5C882312" w:tentative="1">
      <w:start w:val="1"/>
      <w:numFmt w:val="bullet"/>
      <w:lvlText w:val="•"/>
      <w:lvlJc w:val="left"/>
      <w:pPr>
        <w:tabs>
          <w:tab w:val="num" w:pos="4320"/>
        </w:tabs>
        <w:ind w:left="4320" w:hanging="360"/>
      </w:pPr>
      <w:rPr>
        <w:rFonts w:ascii="Arial" w:hAnsi="Arial" w:hint="default"/>
      </w:rPr>
    </w:lvl>
    <w:lvl w:ilvl="6" w:tplc="B4C47550" w:tentative="1">
      <w:start w:val="1"/>
      <w:numFmt w:val="bullet"/>
      <w:lvlText w:val="•"/>
      <w:lvlJc w:val="left"/>
      <w:pPr>
        <w:tabs>
          <w:tab w:val="num" w:pos="5040"/>
        </w:tabs>
        <w:ind w:left="5040" w:hanging="360"/>
      </w:pPr>
      <w:rPr>
        <w:rFonts w:ascii="Arial" w:hAnsi="Arial" w:hint="default"/>
      </w:rPr>
    </w:lvl>
    <w:lvl w:ilvl="7" w:tplc="F5E4E150" w:tentative="1">
      <w:start w:val="1"/>
      <w:numFmt w:val="bullet"/>
      <w:lvlText w:val="•"/>
      <w:lvlJc w:val="left"/>
      <w:pPr>
        <w:tabs>
          <w:tab w:val="num" w:pos="5760"/>
        </w:tabs>
        <w:ind w:left="5760" w:hanging="360"/>
      </w:pPr>
      <w:rPr>
        <w:rFonts w:ascii="Arial" w:hAnsi="Arial" w:hint="default"/>
      </w:rPr>
    </w:lvl>
    <w:lvl w:ilvl="8" w:tplc="7C10FD3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5828424A"/>
    <w:multiLevelType w:val="hybridMultilevel"/>
    <w:tmpl w:val="945CF890"/>
    <w:lvl w:ilvl="0" w:tplc="320A12B4">
      <w:start w:val="1"/>
      <w:numFmt w:val="bullet"/>
      <w:lvlText w:val="•"/>
      <w:lvlJc w:val="left"/>
      <w:pPr>
        <w:tabs>
          <w:tab w:val="num" w:pos="720"/>
        </w:tabs>
        <w:ind w:left="720" w:hanging="360"/>
      </w:pPr>
      <w:rPr>
        <w:rFonts w:ascii="Arial" w:hAnsi="Arial" w:hint="default"/>
      </w:rPr>
    </w:lvl>
    <w:lvl w:ilvl="1" w:tplc="FC66A1D8" w:tentative="1">
      <w:start w:val="1"/>
      <w:numFmt w:val="bullet"/>
      <w:lvlText w:val="•"/>
      <w:lvlJc w:val="left"/>
      <w:pPr>
        <w:tabs>
          <w:tab w:val="num" w:pos="1440"/>
        </w:tabs>
        <w:ind w:left="1440" w:hanging="360"/>
      </w:pPr>
      <w:rPr>
        <w:rFonts w:ascii="Arial" w:hAnsi="Arial" w:hint="default"/>
      </w:rPr>
    </w:lvl>
    <w:lvl w:ilvl="2" w:tplc="454A80A8" w:tentative="1">
      <w:start w:val="1"/>
      <w:numFmt w:val="bullet"/>
      <w:lvlText w:val="•"/>
      <w:lvlJc w:val="left"/>
      <w:pPr>
        <w:tabs>
          <w:tab w:val="num" w:pos="2160"/>
        </w:tabs>
        <w:ind w:left="2160" w:hanging="360"/>
      </w:pPr>
      <w:rPr>
        <w:rFonts w:ascii="Arial" w:hAnsi="Arial" w:hint="default"/>
      </w:rPr>
    </w:lvl>
    <w:lvl w:ilvl="3" w:tplc="428EA78E" w:tentative="1">
      <w:start w:val="1"/>
      <w:numFmt w:val="bullet"/>
      <w:lvlText w:val="•"/>
      <w:lvlJc w:val="left"/>
      <w:pPr>
        <w:tabs>
          <w:tab w:val="num" w:pos="2880"/>
        </w:tabs>
        <w:ind w:left="2880" w:hanging="360"/>
      </w:pPr>
      <w:rPr>
        <w:rFonts w:ascii="Arial" w:hAnsi="Arial" w:hint="default"/>
      </w:rPr>
    </w:lvl>
    <w:lvl w:ilvl="4" w:tplc="9A2AADCC" w:tentative="1">
      <w:start w:val="1"/>
      <w:numFmt w:val="bullet"/>
      <w:lvlText w:val="•"/>
      <w:lvlJc w:val="left"/>
      <w:pPr>
        <w:tabs>
          <w:tab w:val="num" w:pos="3600"/>
        </w:tabs>
        <w:ind w:left="3600" w:hanging="360"/>
      </w:pPr>
      <w:rPr>
        <w:rFonts w:ascii="Arial" w:hAnsi="Arial" w:hint="default"/>
      </w:rPr>
    </w:lvl>
    <w:lvl w:ilvl="5" w:tplc="FE82794A" w:tentative="1">
      <w:start w:val="1"/>
      <w:numFmt w:val="bullet"/>
      <w:lvlText w:val="•"/>
      <w:lvlJc w:val="left"/>
      <w:pPr>
        <w:tabs>
          <w:tab w:val="num" w:pos="4320"/>
        </w:tabs>
        <w:ind w:left="4320" w:hanging="360"/>
      </w:pPr>
      <w:rPr>
        <w:rFonts w:ascii="Arial" w:hAnsi="Arial" w:hint="default"/>
      </w:rPr>
    </w:lvl>
    <w:lvl w:ilvl="6" w:tplc="704217EE" w:tentative="1">
      <w:start w:val="1"/>
      <w:numFmt w:val="bullet"/>
      <w:lvlText w:val="•"/>
      <w:lvlJc w:val="left"/>
      <w:pPr>
        <w:tabs>
          <w:tab w:val="num" w:pos="5040"/>
        </w:tabs>
        <w:ind w:left="5040" w:hanging="360"/>
      </w:pPr>
      <w:rPr>
        <w:rFonts w:ascii="Arial" w:hAnsi="Arial" w:hint="default"/>
      </w:rPr>
    </w:lvl>
    <w:lvl w:ilvl="7" w:tplc="51E89C74" w:tentative="1">
      <w:start w:val="1"/>
      <w:numFmt w:val="bullet"/>
      <w:lvlText w:val="•"/>
      <w:lvlJc w:val="left"/>
      <w:pPr>
        <w:tabs>
          <w:tab w:val="num" w:pos="5760"/>
        </w:tabs>
        <w:ind w:left="5760" w:hanging="360"/>
      </w:pPr>
      <w:rPr>
        <w:rFonts w:ascii="Arial" w:hAnsi="Arial" w:hint="default"/>
      </w:rPr>
    </w:lvl>
    <w:lvl w:ilvl="8" w:tplc="A9AE22E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A5549CD"/>
    <w:multiLevelType w:val="hybridMultilevel"/>
    <w:tmpl w:val="22429C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69024ADC"/>
    <w:multiLevelType w:val="hybridMultilevel"/>
    <w:tmpl w:val="50F43AA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7DB54B43"/>
    <w:multiLevelType w:val="hybridMultilevel"/>
    <w:tmpl w:val="00EA49EA"/>
    <w:lvl w:ilvl="0" w:tplc="0770C4EC">
      <w:start w:val="1"/>
      <w:numFmt w:val="bullet"/>
      <w:lvlText w:val="•"/>
      <w:lvlJc w:val="left"/>
      <w:pPr>
        <w:tabs>
          <w:tab w:val="num" w:pos="720"/>
        </w:tabs>
        <w:ind w:left="720" w:hanging="360"/>
      </w:pPr>
      <w:rPr>
        <w:rFonts w:ascii="Arial" w:hAnsi="Arial" w:hint="default"/>
      </w:rPr>
    </w:lvl>
    <w:lvl w:ilvl="1" w:tplc="30DE07D4" w:tentative="1">
      <w:start w:val="1"/>
      <w:numFmt w:val="bullet"/>
      <w:lvlText w:val="•"/>
      <w:lvlJc w:val="left"/>
      <w:pPr>
        <w:tabs>
          <w:tab w:val="num" w:pos="1440"/>
        </w:tabs>
        <w:ind w:left="1440" w:hanging="360"/>
      </w:pPr>
      <w:rPr>
        <w:rFonts w:ascii="Arial" w:hAnsi="Arial" w:hint="default"/>
      </w:rPr>
    </w:lvl>
    <w:lvl w:ilvl="2" w:tplc="BEE85160" w:tentative="1">
      <w:start w:val="1"/>
      <w:numFmt w:val="bullet"/>
      <w:lvlText w:val="•"/>
      <w:lvlJc w:val="left"/>
      <w:pPr>
        <w:tabs>
          <w:tab w:val="num" w:pos="2160"/>
        </w:tabs>
        <w:ind w:left="2160" w:hanging="360"/>
      </w:pPr>
      <w:rPr>
        <w:rFonts w:ascii="Arial" w:hAnsi="Arial" w:hint="default"/>
      </w:rPr>
    </w:lvl>
    <w:lvl w:ilvl="3" w:tplc="2EB42CB2" w:tentative="1">
      <w:start w:val="1"/>
      <w:numFmt w:val="bullet"/>
      <w:lvlText w:val="•"/>
      <w:lvlJc w:val="left"/>
      <w:pPr>
        <w:tabs>
          <w:tab w:val="num" w:pos="2880"/>
        </w:tabs>
        <w:ind w:left="2880" w:hanging="360"/>
      </w:pPr>
      <w:rPr>
        <w:rFonts w:ascii="Arial" w:hAnsi="Arial" w:hint="default"/>
      </w:rPr>
    </w:lvl>
    <w:lvl w:ilvl="4" w:tplc="36CC7C2A" w:tentative="1">
      <w:start w:val="1"/>
      <w:numFmt w:val="bullet"/>
      <w:lvlText w:val="•"/>
      <w:lvlJc w:val="left"/>
      <w:pPr>
        <w:tabs>
          <w:tab w:val="num" w:pos="3600"/>
        </w:tabs>
        <w:ind w:left="3600" w:hanging="360"/>
      </w:pPr>
      <w:rPr>
        <w:rFonts w:ascii="Arial" w:hAnsi="Arial" w:hint="default"/>
      </w:rPr>
    </w:lvl>
    <w:lvl w:ilvl="5" w:tplc="E206BF52" w:tentative="1">
      <w:start w:val="1"/>
      <w:numFmt w:val="bullet"/>
      <w:lvlText w:val="•"/>
      <w:lvlJc w:val="left"/>
      <w:pPr>
        <w:tabs>
          <w:tab w:val="num" w:pos="4320"/>
        </w:tabs>
        <w:ind w:left="4320" w:hanging="360"/>
      </w:pPr>
      <w:rPr>
        <w:rFonts w:ascii="Arial" w:hAnsi="Arial" w:hint="default"/>
      </w:rPr>
    </w:lvl>
    <w:lvl w:ilvl="6" w:tplc="3C8E860E" w:tentative="1">
      <w:start w:val="1"/>
      <w:numFmt w:val="bullet"/>
      <w:lvlText w:val="•"/>
      <w:lvlJc w:val="left"/>
      <w:pPr>
        <w:tabs>
          <w:tab w:val="num" w:pos="5040"/>
        </w:tabs>
        <w:ind w:left="5040" w:hanging="360"/>
      </w:pPr>
      <w:rPr>
        <w:rFonts w:ascii="Arial" w:hAnsi="Arial" w:hint="default"/>
      </w:rPr>
    </w:lvl>
    <w:lvl w:ilvl="7" w:tplc="4A68E642" w:tentative="1">
      <w:start w:val="1"/>
      <w:numFmt w:val="bullet"/>
      <w:lvlText w:val="•"/>
      <w:lvlJc w:val="left"/>
      <w:pPr>
        <w:tabs>
          <w:tab w:val="num" w:pos="5760"/>
        </w:tabs>
        <w:ind w:left="5760" w:hanging="360"/>
      </w:pPr>
      <w:rPr>
        <w:rFonts w:ascii="Arial" w:hAnsi="Arial" w:hint="default"/>
      </w:rPr>
    </w:lvl>
    <w:lvl w:ilvl="8" w:tplc="102CE05C" w:tentative="1">
      <w:start w:val="1"/>
      <w:numFmt w:val="bullet"/>
      <w:lvlText w:val="•"/>
      <w:lvlJc w:val="left"/>
      <w:pPr>
        <w:tabs>
          <w:tab w:val="num" w:pos="6480"/>
        </w:tabs>
        <w:ind w:left="6480" w:hanging="360"/>
      </w:pPr>
      <w:rPr>
        <w:rFonts w:ascii="Arial" w:hAnsi="Arial" w:hint="default"/>
      </w:rPr>
    </w:lvl>
  </w:abstractNum>
  <w:num w:numId="1" w16cid:durableId="83964281">
    <w:abstractNumId w:val="0"/>
  </w:num>
  <w:num w:numId="2" w16cid:durableId="1025406027">
    <w:abstractNumId w:val="2"/>
  </w:num>
  <w:num w:numId="3" w16cid:durableId="578102461">
    <w:abstractNumId w:val="6"/>
  </w:num>
  <w:num w:numId="4" w16cid:durableId="928849849">
    <w:abstractNumId w:val="3"/>
  </w:num>
  <w:num w:numId="5" w16cid:durableId="1104567802">
    <w:abstractNumId w:val="7"/>
  </w:num>
  <w:num w:numId="6" w16cid:durableId="8261166">
    <w:abstractNumId w:val="4"/>
  </w:num>
  <w:num w:numId="7" w16cid:durableId="459147854">
    <w:abstractNumId w:val="1"/>
  </w:num>
  <w:num w:numId="8" w16cid:durableId="96242098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F15"/>
    <w:rsid w:val="00003558"/>
    <w:rsid w:val="000143AE"/>
    <w:rsid w:val="00015305"/>
    <w:rsid w:val="000254A0"/>
    <w:rsid w:val="00026469"/>
    <w:rsid w:val="00034039"/>
    <w:rsid w:val="00071E59"/>
    <w:rsid w:val="00074018"/>
    <w:rsid w:val="000A6325"/>
    <w:rsid w:val="000C41E8"/>
    <w:rsid w:val="000D48D3"/>
    <w:rsid w:val="000F39E9"/>
    <w:rsid w:val="00122F15"/>
    <w:rsid w:val="00123F03"/>
    <w:rsid w:val="001511DB"/>
    <w:rsid w:val="00154EDE"/>
    <w:rsid w:val="001B39B4"/>
    <w:rsid w:val="001C62E2"/>
    <w:rsid w:val="001D0D52"/>
    <w:rsid w:val="001F0D35"/>
    <w:rsid w:val="00246DA2"/>
    <w:rsid w:val="0025654C"/>
    <w:rsid w:val="00282106"/>
    <w:rsid w:val="002B1FF3"/>
    <w:rsid w:val="002D20DE"/>
    <w:rsid w:val="002D7CB8"/>
    <w:rsid w:val="002F1E55"/>
    <w:rsid w:val="002F662B"/>
    <w:rsid w:val="00374A40"/>
    <w:rsid w:val="003A652A"/>
    <w:rsid w:val="003B3948"/>
    <w:rsid w:val="003B3A8B"/>
    <w:rsid w:val="003D3937"/>
    <w:rsid w:val="003F2EE7"/>
    <w:rsid w:val="00403585"/>
    <w:rsid w:val="004159FF"/>
    <w:rsid w:val="00426FCD"/>
    <w:rsid w:val="004273A8"/>
    <w:rsid w:val="00433282"/>
    <w:rsid w:val="00437540"/>
    <w:rsid w:val="0046471F"/>
    <w:rsid w:val="00476FD1"/>
    <w:rsid w:val="004D53BE"/>
    <w:rsid w:val="004E43D6"/>
    <w:rsid w:val="00525F89"/>
    <w:rsid w:val="00533901"/>
    <w:rsid w:val="005365EC"/>
    <w:rsid w:val="005713EE"/>
    <w:rsid w:val="005B0368"/>
    <w:rsid w:val="005B35F6"/>
    <w:rsid w:val="005B3E72"/>
    <w:rsid w:val="005C03F4"/>
    <w:rsid w:val="005E7CD7"/>
    <w:rsid w:val="005F4199"/>
    <w:rsid w:val="005F669B"/>
    <w:rsid w:val="00615955"/>
    <w:rsid w:val="00637578"/>
    <w:rsid w:val="00662875"/>
    <w:rsid w:val="0066405E"/>
    <w:rsid w:val="00677809"/>
    <w:rsid w:val="00684922"/>
    <w:rsid w:val="006B768C"/>
    <w:rsid w:val="006C45D0"/>
    <w:rsid w:val="006D7578"/>
    <w:rsid w:val="00715252"/>
    <w:rsid w:val="007263B9"/>
    <w:rsid w:val="007456FE"/>
    <w:rsid w:val="00747144"/>
    <w:rsid w:val="00771DF5"/>
    <w:rsid w:val="0078464E"/>
    <w:rsid w:val="0079492E"/>
    <w:rsid w:val="007A36C8"/>
    <w:rsid w:val="007B5409"/>
    <w:rsid w:val="00801FAB"/>
    <w:rsid w:val="0082330C"/>
    <w:rsid w:val="008271DA"/>
    <w:rsid w:val="00872524"/>
    <w:rsid w:val="00896460"/>
    <w:rsid w:val="008D4D13"/>
    <w:rsid w:val="008E0DE0"/>
    <w:rsid w:val="008E7F56"/>
    <w:rsid w:val="008F3CB5"/>
    <w:rsid w:val="009354E5"/>
    <w:rsid w:val="00971C9D"/>
    <w:rsid w:val="009822CC"/>
    <w:rsid w:val="009F1BB3"/>
    <w:rsid w:val="00A24C81"/>
    <w:rsid w:val="00A33FE5"/>
    <w:rsid w:val="00A72DB9"/>
    <w:rsid w:val="00A74FD6"/>
    <w:rsid w:val="00A80D53"/>
    <w:rsid w:val="00A84D9C"/>
    <w:rsid w:val="00AB0529"/>
    <w:rsid w:val="00AC488D"/>
    <w:rsid w:val="00AE0483"/>
    <w:rsid w:val="00B42BFA"/>
    <w:rsid w:val="00B44B76"/>
    <w:rsid w:val="00B46524"/>
    <w:rsid w:val="00B53FF3"/>
    <w:rsid w:val="00B62125"/>
    <w:rsid w:val="00B66B67"/>
    <w:rsid w:val="00B77C33"/>
    <w:rsid w:val="00B937D8"/>
    <w:rsid w:val="00BC5F66"/>
    <w:rsid w:val="00BD4678"/>
    <w:rsid w:val="00BD7F3D"/>
    <w:rsid w:val="00BF1860"/>
    <w:rsid w:val="00C03506"/>
    <w:rsid w:val="00C10DC7"/>
    <w:rsid w:val="00C31C66"/>
    <w:rsid w:val="00C441AC"/>
    <w:rsid w:val="00C6302F"/>
    <w:rsid w:val="00C63443"/>
    <w:rsid w:val="00C6474B"/>
    <w:rsid w:val="00CA140B"/>
    <w:rsid w:val="00CC72AC"/>
    <w:rsid w:val="00CD3CCE"/>
    <w:rsid w:val="00CE2833"/>
    <w:rsid w:val="00CF5DCF"/>
    <w:rsid w:val="00D02DED"/>
    <w:rsid w:val="00D24D77"/>
    <w:rsid w:val="00D537F4"/>
    <w:rsid w:val="00D600A3"/>
    <w:rsid w:val="00D815B9"/>
    <w:rsid w:val="00DB48D4"/>
    <w:rsid w:val="00E15043"/>
    <w:rsid w:val="00E36FAE"/>
    <w:rsid w:val="00E51960"/>
    <w:rsid w:val="00E56911"/>
    <w:rsid w:val="00E85077"/>
    <w:rsid w:val="00E85B24"/>
    <w:rsid w:val="00ED5453"/>
    <w:rsid w:val="00F167CA"/>
    <w:rsid w:val="00F16EB8"/>
    <w:rsid w:val="00F5682A"/>
    <w:rsid w:val="00F90620"/>
    <w:rsid w:val="00FB3D91"/>
    <w:rsid w:val="00FB43BC"/>
    <w:rsid w:val="00FF3D3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D6CE5E"/>
  <w15:chartTrackingRefBased/>
  <w15:docId w15:val="{175F3C88-560D-40C9-BF29-FEA372BD5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22F15"/>
    <w:pPr>
      <w:spacing w:line="25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22F1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22F15"/>
  </w:style>
  <w:style w:type="paragraph" w:styleId="Stopka">
    <w:name w:val="footer"/>
    <w:basedOn w:val="Normalny"/>
    <w:link w:val="StopkaZnak"/>
    <w:uiPriority w:val="99"/>
    <w:unhideWhenUsed/>
    <w:rsid w:val="00122F1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22F15"/>
  </w:style>
  <w:style w:type="paragraph" w:styleId="Poprawka">
    <w:name w:val="Revision"/>
    <w:hidden/>
    <w:uiPriority w:val="99"/>
    <w:semiHidden/>
    <w:rsid w:val="00BD4678"/>
    <w:pPr>
      <w:spacing w:after="0" w:line="240" w:lineRule="auto"/>
    </w:pPr>
  </w:style>
  <w:style w:type="paragraph" w:styleId="Akapitzlist">
    <w:name w:val="List Paragraph"/>
    <w:basedOn w:val="Normalny"/>
    <w:uiPriority w:val="34"/>
    <w:qFormat/>
    <w:rsid w:val="00715252"/>
    <w:pPr>
      <w:ind w:left="720"/>
      <w:contextualSpacing/>
    </w:pPr>
  </w:style>
  <w:style w:type="paragraph" w:customStyle="1" w:styleId="paragraph">
    <w:name w:val="paragraph"/>
    <w:basedOn w:val="Normalny"/>
    <w:rsid w:val="005F4199"/>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ormaltextrun">
    <w:name w:val="normaltextrun"/>
    <w:basedOn w:val="Domylnaczcionkaakapitu"/>
    <w:rsid w:val="005F4199"/>
  </w:style>
  <w:style w:type="character" w:customStyle="1" w:styleId="eop">
    <w:name w:val="eop"/>
    <w:basedOn w:val="Domylnaczcionkaakapitu"/>
    <w:rsid w:val="005F4199"/>
  </w:style>
  <w:style w:type="character" w:customStyle="1" w:styleId="spellingerror">
    <w:name w:val="spellingerror"/>
    <w:basedOn w:val="Domylnaczcionkaakapitu"/>
    <w:rsid w:val="005F4199"/>
  </w:style>
  <w:style w:type="paragraph" w:styleId="Tekstprzypisukocowego">
    <w:name w:val="endnote text"/>
    <w:basedOn w:val="Normalny"/>
    <w:link w:val="TekstprzypisukocowegoZnak"/>
    <w:uiPriority w:val="99"/>
    <w:semiHidden/>
    <w:unhideWhenUsed/>
    <w:rsid w:val="000A6325"/>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0A6325"/>
    <w:rPr>
      <w:sz w:val="20"/>
      <w:szCs w:val="20"/>
    </w:rPr>
  </w:style>
  <w:style w:type="character" w:styleId="Odwoanieprzypisukocowego">
    <w:name w:val="endnote reference"/>
    <w:basedOn w:val="Domylnaczcionkaakapitu"/>
    <w:uiPriority w:val="99"/>
    <w:semiHidden/>
    <w:unhideWhenUsed/>
    <w:rsid w:val="000A6325"/>
    <w:rPr>
      <w:vertAlign w:val="superscript"/>
    </w:rPr>
  </w:style>
  <w:style w:type="paragraph" w:styleId="NormalnyWeb">
    <w:name w:val="Normal (Web)"/>
    <w:basedOn w:val="Normalny"/>
    <w:uiPriority w:val="99"/>
    <w:unhideWhenUsed/>
    <w:rsid w:val="00AB0529"/>
    <w:pPr>
      <w:spacing w:before="100" w:beforeAutospacing="1" w:after="100" w:afterAutospacing="1" w:line="240" w:lineRule="auto"/>
    </w:pPr>
    <w:rPr>
      <w:rFonts w:ascii="Calibri" w:hAnsi="Calibri" w:cs="Calibri"/>
      <w:lang w:eastAsia="pl-PL"/>
    </w:rPr>
  </w:style>
  <w:style w:type="character" w:styleId="Pogrubienie">
    <w:name w:val="Strong"/>
    <w:basedOn w:val="Domylnaczcionkaakapitu"/>
    <w:uiPriority w:val="22"/>
    <w:qFormat/>
    <w:rsid w:val="00AB05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4019399">
      <w:bodyDiv w:val="1"/>
      <w:marLeft w:val="0"/>
      <w:marRight w:val="0"/>
      <w:marTop w:val="0"/>
      <w:marBottom w:val="0"/>
      <w:divBdr>
        <w:top w:val="none" w:sz="0" w:space="0" w:color="auto"/>
        <w:left w:val="none" w:sz="0" w:space="0" w:color="auto"/>
        <w:bottom w:val="none" w:sz="0" w:space="0" w:color="auto"/>
        <w:right w:val="none" w:sz="0" w:space="0" w:color="auto"/>
      </w:divBdr>
    </w:div>
    <w:div w:id="525825016">
      <w:bodyDiv w:val="1"/>
      <w:marLeft w:val="0"/>
      <w:marRight w:val="0"/>
      <w:marTop w:val="0"/>
      <w:marBottom w:val="0"/>
      <w:divBdr>
        <w:top w:val="none" w:sz="0" w:space="0" w:color="auto"/>
        <w:left w:val="none" w:sz="0" w:space="0" w:color="auto"/>
        <w:bottom w:val="none" w:sz="0" w:space="0" w:color="auto"/>
        <w:right w:val="none" w:sz="0" w:space="0" w:color="auto"/>
      </w:divBdr>
    </w:div>
    <w:div w:id="636229588">
      <w:bodyDiv w:val="1"/>
      <w:marLeft w:val="0"/>
      <w:marRight w:val="0"/>
      <w:marTop w:val="0"/>
      <w:marBottom w:val="0"/>
      <w:divBdr>
        <w:top w:val="none" w:sz="0" w:space="0" w:color="auto"/>
        <w:left w:val="none" w:sz="0" w:space="0" w:color="auto"/>
        <w:bottom w:val="none" w:sz="0" w:space="0" w:color="auto"/>
        <w:right w:val="none" w:sz="0" w:space="0" w:color="auto"/>
      </w:divBdr>
    </w:div>
    <w:div w:id="994987719">
      <w:bodyDiv w:val="1"/>
      <w:marLeft w:val="0"/>
      <w:marRight w:val="0"/>
      <w:marTop w:val="0"/>
      <w:marBottom w:val="0"/>
      <w:divBdr>
        <w:top w:val="none" w:sz="0" w:space="0" w:color="auto"/>
        <w:left w:val="none" w:sz="0" w:space="0" w:color="auto"/>
        <w:bottom w:val="none" w:sz="0" w:space="0" w:color="auto"/>
        <w:right w:val="none" w:sz="0" w:space="0" w:color="auto"/>
      </w:divBdr>
    </w:div>
    <w:div w:id="1004019299">
      <w:bodyDiv w:val="1"/>
      <w:marLeft w:val="0"/>
      <w:marRight w:val="0"/>
      <w:marTop w:val="0"/>
      <w:marBottom w:val="0"/>
      <w:divBdr>
        <w:top w:val="none" w:sz="0" w:space="0" w:color="auto"/>
        <w:left w:val="none" w:sz="0" w:space="0" w:color="auto"/>
        <w:bottom w:val="none" w:sz="0" w:space="0" w:color="auto"/>
        <w:right w:val="none" w:sz="0" w:space="0" w:color="auto"/>
      </w:divBdr>
      <w:divsChild>
        <w:div w:id="1492217316">
          <w:marLeft w:val="274"/>
          <w:marRight w:val="0"/>
          <w:marTop w:val="0"/>
          <w:marBottom w:val="0"/>
          <w:divBdr>
            <w:top w:val="none" w:sz="0" w:space="0" w:color="auto"/>
            <w:left w:val="none" w:sz="0" w:space="0" w:color="auto"/>
            <w:bottom w:val="none" w:sz="0" w:space="0" w:color="auto"/>
            <w:right w:val="none" w:sz="0" w:space="0" w:color="auto"/>
          </w:divBdr>
        </w:div>
        <w:div w:id="2128347603">
          <w:marLeft w:val="274"/>
          <w:marRight w:val="0"/>
          <w:marTop w:val="0"/>
          <w:marBottom w:val="0"/>
          <w:divBdr>
            <w:top w:val="none" w:sz="0" w:space="0" w:color="auto"/>
            <w:left w:val="none" w:sz="0" w:space="0" w:color="auto"/>
            <w:bottom w:val="none" w:sz="0" w:space="0" w:color="auto"/>
            <w:right w:val="none" w:sz="0" w:space="0" w:color="auto"/>
          </w:divBdr>
        </w:div>
        <w:div w:id="1452625273">
          <w:marLeft w:val="274"/>
          <w:marRight w:val="0"/>
          <w:marTop w:val="0"/>
          <w:marBottom w:val="0"/>
          <w:divBdr>
            <w:top w:val="none" w:sz="0" w:space="0" w:color="auto"/>
            <w:left w:val="none" w:sz="0" w:space="0" w:color="auto"/>
            <w:bottom w:val="none" w:sz="0" w:space="0" w:color="auto"/>
            <w:right w:val="none" w:sz="0" w:space="0" w:color="auto"/>
          </w:divBdr>
        </w:div>
        <w:div w:id="1017002097">
          <w:marLeft w:val="274"/>
          <w:marRight w:val="0"/>
          <w:marTop w:val="0"/>
          <w:marBottom w:val="0"/>
          <w:divBdr>
            <w:top w:val="none" w:sz="0" w:space="0" w:color="auto"/>
            <w:left w:val="none" w:sz="0" w:space="0" w:color="auto"/>
            <w:bottom w:val="none" w:sz="0" w:space="0" w:color="auto"/>
            <w:right w:val="none" w:sz="0" w:space="0" w:color="auto"/>
          </w:divBdr>
        </w:div>
        <w:div w:id="1983584764">
          <w:marLeft w:val="274"/>
          <w:marRight w:val="0"/>
          <w:marTop w:val="0"/>
          <w:marBottom w:val="0"/>
          <w:divBdr>
            <w:top w:val="none" w:sz="0" w:space="0" w:color="auto"/>
            <w:left w:val="none" w:sz="0" w:space="0" w:color="auto"/>
            <w:bottom w:val="none" w:sz="0" w:space="0" w:color="auto"/>
            <w:right w:val="none" w:sz="0" w:space="0" w:color="auto"/>
          </w:divBdr>
        </w:div>
        <w:div w:id="1005596321">
          <w:marLeft w:val="274"/>
          <w:marRight w:val="0"/>
          <w:marTop w:val="0"/>
          <w:marBottom w:val="0"/>
          <w:divBdr>
            <w:top w:val="none" w:sz="0" w:space="0" w:color="auto"/>
            <w:left w:val="none" w:sz="0" w:space="0" w:color="auto"/>
            <w:bottom w:val="none" w:sz="0" w:space="0" w:color="auto"/>
            <w:right w:val="none" w:sz="0" w:space="0" w:color="auto"/>
          </w:divBdr>
        </w:div>
        <w:div w:id="193540221">
          <w:marLeft w:val="274"/>
          <w:marRight w:val="0"/>
          <w:marTop w:val="0"/>
          <w:marBottom w:val="0"/>
          <w:divBdr>
            <w:top w:val="none" w:sz="0" w:space="0" w:color="auto"/>
            <w:left w:val="none" w:sz="0" w:space="0" w:color="auto"/>
            <w:bottom w:val="none" w:sz="0" w:space="0" w:color="auto"/>
            <w:right w:val="none" w:sz="0" w:space="0" w:color="auto"/>
          </w:divBdr>
        </w:div>
        <w:div w:id="1408066343">
          <w:marLeft w:val="274"/>
          <w:marRight w:val="0"/>
          <w:marTop w:val="0"/>
          <w:marBottom w:val="0"/>
          <w:divBdr>
            <w:top w:val="none" w:sz="0" w:space="0" w:color="auto"/>
            <w:left w:val="none" w:sz="0" w:space="0" w:color="auto"/>
            <w:bottom w:val="none" w:sz="0" w:space="0" w:color="auto"/>
            <w:right w:val="none" w:sz="0" w:space="0" w:color="auto"/>
          </w:divBdr>
        </w:div>
        <w:div w:id="1297224086">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5f6d2a85-7ee4-4378-b7ed-738a62b8fe7b" origin="userSelected">
  <element uid="58926007-ec67-4bca-bc17-d1f289c38e78" value=""/>
</sisl>
</file>

<file path=customXml/itemProps1.xml><?xml version="1.0" encoding="utf-8"?>
<ds:datastoreItem xmlns:ds="http://schemas.openxmlformats.org/officeDocument/2006/customXml" ds:itemID="{B1545026-685D-48CE-BF7E-E67126F92DE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584</Words>
  <Characters>3506</Characters>
  <Application>Microsoft Office Word</Application>
  <DocSecurity>0</DocSecurity>
  <Lines>29</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Darnobyt, Monika</dc:creator>
  <cp:keywords/>
  <dc:description/>
  <cp:lastModifiedBy>Środawa, Piotr</cp:lastModifiedBy>
  <cp:revision>3</cp:revision>
  <cp:lastPrinted>2025-05-13T10:13:00Z</cp:lastPrinted>
  <dcterms:created xsi:type="dcterms:W3CDTF">2025-05-13T10:14:00Z</dcterms:created>
  <dcterms:modified xsi:type="dcterms:W3CDTF">2025-05-13T10:14:00Z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11523e65-c4c7-46b1-aba1-0971272d52a4</vt:lpwstr>
  </property>
  <property fmtid="{D5CDD505-2E9C-101B-9397-08002B2CF9AE}" pid="3" name="bjClsUserRVM">
    <vt:lpwstr>[]</vt:lpwstr>
  </property>
  <property fmtid="{D5CDD505-2E9C-101B-9397-08002B2CF9AE}" pid="4" name="bjSaver">
    <vt:lpwstr>hvUbXjecmBCW3gyB7RaClLQJCFg9fm4r</vt:lpwstr>
  </property>
  <property fmtid="{D5CDD505-2E9C-101B-9397-08002B2CF9AE}" pid="5" name="bjDocumentSecurityLabel">
    <vt:lpwstr>OGÓLNE</vt:lpwstr>
  </property>
  <property fmtid="{D5CDD505-2E9C-101B-9397-08002B2CF9AE}" pid="6" name="bjDocumentLabelXML">
    <vt:lpwstr>&lt;?xml version="1.0" encoding="us-ascii"?&gt;&lt;sisl xmlns:xsi="http://www.w3.org/2001/XMLSchema-instance" xmlns:xsd="http://www.w3.org/2001/XMLSchema" sislVersion="0" policy="5f6d2a85-7ee4-4378-b7ed-738a62b8fe7b" origin="userSelected" xmlns="http://www.boldonj</vt:lpwstr>
  </property>
  <property fmtid="{D5CDD505-2E9C-101B-9397-08002B2CF9AE}" pid="7" name="bjDocumentLabelXML-0">
    <vt:lpwstr>ames.com/2008/01/sie/internal/label"&gt;&lt;element uid="58926007-ec67-4bca-bc17-d1f289c38e78" value="" /&gt;&lt;/sisl&gt;</vt:lpwstr>
  </property>
</Properties>
</file>